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29" w:rsidRDefault="000A672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88" o:spid="_x0000_s1028" type="#_x0000_t75" style="position:absolute;margin-left:0;margin-top:766.9pt;width:594.95pt;height:75.15pt;z-index:1072;mso-position-horizontal-relative:page;mso-position-vertical-relative:page">
            <v:imagedata r:id="rId4" o:title=""/>
            <w10:wrap anchorx="page" anchory="page"/>
          </v:shape>
        </w:pict>
      </w:r>
    </w:p>
    <w:p w:rsidR="00E43529" w:rsidRDefault="00E43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529" w:rsidRDefault="00E43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529" w:rsidRDefault="00E43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529" w:rsidRDefault="00E43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529" w:rsidRDefault="00E43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529" w:rsidRPr="000A6727" w:rsidRDefault="00E4352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43529" w:rsidRDefault="000A6727">
      <w:pPr>
        <w:spacing w:before="175"/>
        <w:ind w:left="1132" w:right="1139"/>
        <w:rPr>
          <w:rFonts w:ascii="Calibri" w:eastAsia="Calibri" w:hAnsi="Calibri" w:cs="Calibri"/>
          <w:sz w:val="32"/>
          <w:szCs w:val="32"/>
        </w:rPr>
      </w:pPr>
      <w:r>
        <w:pict>
          <v:shape id="3286" o:spid="_x0000_s1027" type="#_x0000_t75" style="position:absolute;left:0;text-align:left;margin-left:0;margin-top:-79.4pt;width:594.95pt;height:89.75pt;z-index:-4048;mso-position-horizontal-relative:page">
            <v:imagedata r:id="rId5" o:title=""/>
            <w10:wrap anchorx="page"/>
          </v:shape>
        </w:pict>
      </w:r>
      <w:r>
        <w:rPr>
          <w:rFonts w:ascii="Calibri"/>
          <w:b/>
          <w:sz w:val="32"/>
        </w:rPr>
        <w:t>AKBOND 160</w:t>
      </w:r>
    </w:p>
    <w:p w:rsidR="00E43529" w:rsidRDefault="000A6727">
      <w:pPr>
        <w:pStyle w:val="1"/>
        <w:spacing w:before="2"/>
        <w:ind w:right="1139"/>
        <w:rPr>
          <w:b w:val="0"/>
          <w:bCs w:val="0"/>
        </w:rPr>
      </w:pPr>
      <w:r>
        <w:t>Жидкий синтетический химикат для придания бумаге прочности в сухом состоянии</w:t>
      </w:r>
    </w:p>
    <w:p w:rsidR="00E43529" w:rsidRPr="000A6727" w:rsidRDefault="00E43529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2696"/>
        <w:gridCol w:w="3260"/>
        <w:gridCol w:w="4014"/>
      </w:tblGrid>
      <w:tr w:rsidR="00E43529" w:rsidTr="000A6727">
        <w:trPr>
          <w:trHeight w:hRule="exact" w:val="278"/>
        </w:trPr>
        <w:tc>
          <w:tcPr>
            <w:tcW w:w="2696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E43529" w:rsidRDefault="000A6727">
            <w:pPr>
              <w:pStyle w:val="TableParagraph"/>
              <w:spacing w:before="1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Технические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характеристики</w:t>
            </w:r>
          </w:p>
        </w:tc>
        <w:tc>
          <w:tcPr>
            <w:tcW w:w="326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E43529" w:rsidRDefault="000A6727">
            <w:pPr>
              <w:pStyle w:val="TableParagraph"/>
              <w:spacing w:before="1"/>
              <w:ind w:left="7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Значение</w:t>
            </w:r>
          </w:p>
        </w:tc>
        <w:tc>
          <w:tcPr>
            <w:tcW w:w="4014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E43529" w:rsidRDefault="000A6727">
            <w:pPr>
              <w:pStyle w:val="TableParagraph"/>
              <w:spacing w:before="1"/>
              <w:ind w:left="8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Метод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измерения</w:t>
            </w:r>
          </w:p>
        </w:tc>
      </w:tr>
      <w:tr w:rsidR="00E43529" w:rsidTr="000A6727">
        <w:tc>
          <w:tcPr>
            <w:tcW w:w="2696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E43529" w:rsidRDefault="000A6727">
            <w:pPr>
              <w:pStyle w:val="TableParagraph"/>
              <w:spacing w:before="1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Внешний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вид</w:t>
            </w:r>
          </w:p>
        </w:tc>
        <w:tc>
          <w:tcPr>
            <w:tcW w:w="326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E43529" w:rsidRDefault="000A6727">
            <w:pPr>
              <w:pStyle w:val="TableParagraph"/>
              <w:spacing w:before="1"/>
              <w:ind w:left="7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Прозрачная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вязкая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жидкость</w:t>
            </w:r>
          </w:p>
        </w:tc>
        <w:tc>
          <w:tcPr>
            <w:tcW w:w="4014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E43529" w:rsidRDefault="000A6727">
            <w:pPr>
              <w:pStyle w:val="TableParagraph"/>
              <w:spacing w:before="1"/>
              <w:ind w:left="8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Визуальный</w:t>
            </w:r>
          </w:p>
        </w:tc>
      </w:tr>
      <w:tr w:rsidR="00E43529" w:rsidTr="000A6727">
        <w:tc>
          <w:tcPr>
            <w:tcW w:w="2696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E43529" w:rsidRDefault="000A6727">
            <w:pPr>
              <w:pStyle w:val="TableParagraph"/>
              <w:spacing w:before="1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pH</w:t>
            </w:r>
            <w:proofErr w:type="spellEnd"/>
          </w:p>
        </w:tc>
        <w:tc>
          <w:tcPr>
            <w:tcW w:w="326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E43529" w:rsidRDefault="000A6727">
            <w:pPr>
              <w:pStyle w:val="TableParagraph"/>
              <w:spacing w:before="1"/>
              <w:ind w:left="7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5,0 - 7,0</w:t>
            </w:r>
          </w:p>
        </w:tc>
        <w:tc>
          <w:tcPr>
            <w:tcW w:w="4014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E43529" w:rsidRDefault="000A6727">
            <w:pPr>
              <w:pStyle w:val="TableParagraph"/>
              <w:spacing w:before="1"/>
              <w:ind w:left="8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pH</w:t>
            </w:r>
            <w:proofErr w:type="spellEnd"/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z w:val="20"/>
              </w:rPr>
              <w:t>метр</w:t>
            </w:r>
          </w:p>
        </w:tc>
      </w:tr>
      <w:tr w:rsidR="00E43529" w:rsidTr="000A6727">
        <w:tc>
          <w:tcPr>
            <w:tcW w:w="2696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E43529" w:rsidRDefault="000A6727">
            <w:pPr>
              <w:pStyle w:val="TableParagraph"/>
              <w:spacing w:before="1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Вязкость (22 °C)</w:t>
            </w:r>
          </w:p>
        </w:tc>
        <w:tc>
          <w:tcPr>
            <w:tcW w:w="326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E43529" w:rsidRDefault="000A6727">
            <w:pPr>
              <w:pStyle w:val="TableParagraph"/>
              <w:spacing w:before="1"/>
              <w:ind w:left="7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2000 - 5000 </w:t>
            </w:r>
            <w:proofErr w:type="spellStart"/>
            <w:r>
              <w:rPr>
                <w:rFonts w:ascii="Calibri"/>
                <w:sz w:val="20"/>
              </w:rPr>
              <w:t>мПа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z w:val="20"/>
              </w:rPr>
              <w:t>с</w:t>
            </w:r>
            <w:proofErr w:type="spellEnd"/>
          </w:p>
        </w:tc>
        <w:tc>
          <w:tcPr>
            <w:tcW w:w="4014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E43529" w:rsidRDefault="000A6727">
            <w:pPr>
              <w:pStyle w:val="TableParagraph"/>
              <w:spacing w:before="1"/>
              <w:ind w:left="8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Вискозиметр</w:t>
            </w:r>
            <w:r>
              <w:rPr>
                <w:rFonts w:ascii="Calibri"/>
                <w:sz w:val="20"/>
              </w:rPr>
              <w:t xml:space="preserve"> (60 </w:t>
            </w:r>
            <w:r>
              <w:rPr>
                <w:rFonts w:ascii="Calibri"/>
                <w:sz w:val="20"/>
              </w:rPr>
              <w:t>мин</w:t>
            </w:r>
            <w:r>
              <w:rPr>
                <w:rFonts w:ascii="Calibri"/>
                <w:sz w:val="20"/>
                <w:vertAlign w:val="superscript"/>
              </w:rPr>
              <w:t>-1</w:t>
            </w:r>
            <w:r>
              <w:rPr>
                <w:rFonts w:ascii="Calibri"/>
                <w:sz w:val="20"/>
              </w:rPr>
              <w:t xml:space="preserve">, </w:t>
            </w:r>
            <w:r>
              <w:rPr>
                <w:rFonts w:ascii="Calibri"/>
                <w:sz w:val="20"/>
              </w:rPr>
              <w:t>шпиндель</w:t>
            </w:r>
            <w:r>
              <w:rPr>
                <w:rFonts w:ascii="Calibri"/>
                <w:sz w:val="20"/>
              </w:rPr>
              <w:t xml:space="preserve"> 63)</w:t>
            </w:r>
          </w:p>
        </w:tc>
      </w:tr>
      <w:tr w:rsidR="00E43529" w:rsidTr="000A6727">
        <w:tc>
          <w:tcPr>
            <w:tcW w:w="2696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E43529" w:rsidRDefault="000A6727">
            <w:pPr>
              <w:pStyle w:val="TableParagraph"/>
              <w:spacing w:line="243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Доля действующего вещества (105 °C)</w:t>
            </w:r>
          </w:p>
        </w:tc>
        <w:tc>
          <w:tcPr>
            <w:tcW w:w="326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E43529" w:rsidRDefault="000A6727">
            <w:pPr>
              <w:pStyle w:val="TableParagraph"/>
              <w:spacing w:line="243" w:lineRule="exact"/>
              <w:ind w:left="7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21 - 23 % </w:t>
            </w:r>
            <w:r>
              <w:rPr>
                <w:rFonts w:ascii="Calibri"/>
                <w:sz w:val="20"/>
              </w:rPr>
              <w:t>масс</w:t>
            </w:r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4014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E43529" w:rsidRDefault="000A6727">
            <w:pPr>
              <w:pStyle w:val="TableParagraph"/>
              <w:spacing w:line="243" w:lineRule="exact"/>
              <w:ind w:left="8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Гравиметрический</w:t>
            </w:r>
          </w:p>
        </w:tc>
      </w:tr>
    </w:tbl>
    <w:p w:rsidR="00E43529" w:rsidRDefault="00E43529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E43529" w:rsidRDefault="000A6727">
      <w:pPr>
        <w:spacing w:before="59"/>
        <w:ind w:left="1132" w:right="113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ОПИСАНИЕ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ПРОДУКТА</w:t>
      </w:r>
    </w:p>
    <w:p w:rsidR="00E43529" w:rsidRPr="000A6727" w:rsidRDefault="00E4352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E43529" w:rsidRDefault="000A6727">
      <w:pPr>
        <w:pStyle w:val="a3"/>
        <w:ind w:right="1139"/>
      </w:pPr>
      <w:r>
        <w:t>Продукт используется в производстве бумаге для придания ей прочности в сухом состоянии (анионный химикат).</w:t>
      </w:r>
    </w:p>
    <w:p w:rsidR="00E43529" w:rsidRPr="000A6727" w:rsidRDefault="00E43529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E43529" w:rsidRDefault="000A6727">
      <w:pPr>
        <w:pStyle w:val="1"/>
        <w:ind w:right="1139"/>
        <w:rPr>
          <w:b w:val="0"/>
          <w:bCs w:val="0"/>
        </w:rPr>
      </w:pPr>
      <w:r>
        <w:t>ОСОБЕННОСТИ И ПРЕИМУЩЕСТВА</w:t>
      </w:r>
    </w:p>
    <w:p w:rsidR="00E43529" w:rsidRDefault="000A6727">
      <w:pPr>
        <w:pStyle w:val="a3"/>
        <w:ind w:right="1139"/>
      </w:pPr>
      <w:r>
        <w:t>- В силу анионной природы химикат значительно повышает удержание катионных химикатов</w:t>
      </w:r>
      <w:r>
        <w:t xml:space="preserve"> (катионный крахмал, химикаты для придания прочности во влажном состоянии).</w:t>
      </w:r>
    </w:p>
    <w:p w:rsidR="00E43529" w:rsidRDefault="000A6727">
      <w:pPr>
        <w:pStyle w:val="a3"/>
        <w:ind w:right="1139"/>
      </w:pPr>
      <w:r>
        <w:t>- Помимо повышения прочности в сухом состоянии улучшает дренировани</w:t>
      </w:r>
      <w:r>
        <w:t xml:space="preserve">е и </w:t>
      </w:r>
      <w:r>
        <w:t>сушку.</w:t>
      </w:r>
    </w:p>
    <w:p w:rsidR="00E43529" w:rsidRDefault="000A6727">
      <w:pPr>
        <w:pStyle w:val="a3"/>
        <w:ind w:right="1139"/>
      </w:pPr>
      <w:r>
        <w:t xml:space="preserve">- Благодаря хорошей растворимости в воде этот продукт, в отличие от порошковых крахмалов, не требует </w:t>
      </w:r>
      <w:proofErr w:type="spellStart"/>
      <w:r>
        <w:t>клейстеризации</w:t>
      </w:r>
      <w:proofErr w:type="spellEnd"/>
      <w:r>
        <w:t>, т. е. удобнее в применении.</w:t>
      </w:r>
    </w:p>
    <w:p w:rsidR="00E43529" w:rsidRDefault="000A6727">
      <w:pPr>
        <w:pStyle w:val="a3"/>
        <w:ind w:right="1139"/>
      </w:pPr>
      <w:r>
        <w:t>- Может использоваться в производстве санитарно-гигиенической бумаги (салфетки, полотенца, туалетная бумага и т. д.) вторичной (гофрированная бумага, тест-лайнер) и белой бумаги.</w:t>
      </w:r>
    </w:p>
    <w:p w:rsidR="00E43529" w:rsidRDefault="000A6727">
      <w:pPr>
        <w:pStyle w:val="a3"/>
        <w:spacing w:line="243" w:lineRule="exact"/>
        <w:ind w:right="1139"/>
      </w:pPr>
      <w:r>
        <w:t>- При использовании в производстве туалетной бумаги увеличивает ее объем и пр</w:t>
      </w:r>
      <w:r>
        <w:t>очность.</w:t>
      </w:r>
    </w:p>
    <w:p w:rsidR="00E43529" w:rsidRDefault="000A6727">
      <w:pPr>
        <w:pStyle w:val="a3"/>
        <w:spacing w:line="243" w:lineRule="exact"/>
        <w:ind w:right="1139"/>
      </w:pPr>
      <w:r>
        <w:t>- В силу своей химической природы снижает химическое потребление кислорода в сточных водах по сравнению с крахмалом.</w:t>
      </w:r>
    </w:p>
    <w:p w:rsidR="000A6727" w:rsidRPr="000A6727" w:rsidRDefault="000A6727">
      <w:pPr>
        <w:pStyle w:val="1"/>
        <w:ind w:right="1139"/>
        <w:rPr>
          <w:sz w:val="16"/>
          <w:szCs w:val="16"/>
        </w:rPr>
      </w:pPr>
    </w:p>
    <w:p w:rsidR="00E43529" w:rsidRDefault="000A6727">
      <w:pPr>
        <w:pStyle w:val="1"/>
        <w:ind w:right="1139"/>
        <w:rPr>
          <w:b w:val="0"/>
          <w:bCs w:val="0"/>
        </w:rPr>
      </w:pPr>
      <w:r>
        <w:t>ПРИМЕНЕНИЕ</w:t>
      </w:r>
    </w:p>
    <w:p w:rsidR="00E43529" w:rsidRDefault="000A6727">
      <w:pPr>
        <w:pStyle w:val="a3"/>
        <w:ind w:right="1139"/>
      </w:pPr>
      <w:r>
        <w:t xml:space="preserve">- Добавьте продукт </w:t>
      </w:r>
      <w:r>
        <w:t xml:space="preserve">в систему в соотношении 3 - 15 кг/т. В производстве вторичной бумаги применение вместе с </w:t>
      </w:r>
      <w:r>
        <w:t xml:space="preserve">фиксатором дает </w:t>
      </w:r>
      <w:r>
        <w:t>лучший результат.</w:t>
      </w:r>
    </w:p>
    <w:p w:rsidR="00E43529" w:rsidRDefault="000A6727">
      <w:pPr>
        <w:pStyle w:val="a3"/>
        <w:ind w:right="1139"/>
      </w:pPr>
      <w:r>
        <w:t>- Проследите за тем, чтобы не подавать продукт вместе с полимерами, которые служат собирателями анионного мусора.</w:t>
      </w:r>
    </w:p>
    <w:p w:rsidR="00E43529" w:rsidRDefault="000A6727">
      <w:pPr>
        <w:pStyle w:val="a3"/>
        <w:ind w:right="1139"/>
      </w:pPr>
      <w:r>
        <w:t>- Подача из машинного бассейна дает лучший результат.</w:t>
      </w:r>
    </w:p>
    <w:p w:rsidR="000A6727" w:rsidRPr="000A6727" w:rsidRDefault="000A6727">
      <w:pPr>
        <w:pStyle w:val="1"/>
        <w:ind w:right="1139"/>
        <w:rPr>
          <w:sz w:val="16"/>
          <w:szCs w:val="16"/>
        </w:rPr>
      </w:pPr>
    </w:p>
    <w:p w:rsidR="00E43529" w:rsidRDefault="000A6727">
      <w:pPr>
        <w:pStyle w:val="1"/>
        <w:ind w:right="1139"/>
        <w:rPr>
          <w:b w:val="0"/>
          <w:bCs w:val="0"/>
        </w:rPr>
      </w:pPr>
      <w:r>
        <w:t>УПАКОВКА, ХРАНЕНИЕ, СРОК ХРАНЕНИЯ</w:t>
      </w:r>
    </w:p>
    <w:p w:rsidR="00E43529" w:rsidRPr="000A6727" w:rsidRDefault="00E43529" w:rsidP="000A6727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E43529" w:rsidRDefault="000A6727">
      <w:pPr>
        <w:pStyle w:val="a3"/>
        <w:spacing w:line="243" w:lineRule="exact"/>
        <w:ind w:right="1139"/>
      </w:pPr>
      <w:r>
        <w:t>Налив, МКХ.</w:t>
      </w:r>
    </w:p>
    <w:p w:rsidR="00E43529" w:rsidRDefault="000A6727">
      <w:pPr>
        <w:pStyle w:val="a3"/>
        <w:ind w:right="1139"/>
      </w:pPr>
      <w:r>
        <w:t xml:space="preserve">Рекомендуется держать продукт в закрытых контейнерах при температуре 15 - 40 </w:t>
      </w:r>
      <w:r>
        <w:t>°</w:t>
      </w:r>
      <w:r>
        <w:t>C и использовать в течение 6 месяцев от даты производства.</w:t>
      </w:r>
    </w:p>
    <w:p w:rsidR="00E43529" w:rsidRPr="000A6727" w:rsidRDefault="00E43529" w:rsidP="000A6727">
      <w:pPr>
        <w:rPr>
          <w:rFonts w:ascii="Calibri" w:eastAsia="Calibri" w:hAnsi="Calibri" w:cs="Calibri"/>
          <w:sz w:val="16"/>
          <w:szCs w:val="16"/>
        </w:rPr>
      </w:pPr>
    </w:p>
    <w:p w:rsidR="00E43529" w:rsidRDefault="000A6727">
      <w:pPr>
        <w:pStyle w:val="a3"/>
        <w:ind w:right="1139"/>
        <w:rPr>
          <w:rFonts w:cs="Calibri"/>
        </w:rPr>
      </w:pPr>
      <w:r>
        <w:rPr>
          <w:b/>
          <w:bCs/>
        </w:rPr>
        <w:t>Примечание.</w:t>
      </w:r>
      <w:r>
        <w:rPr>
          <w:b/>
          <w:bCs/>
        </w:rPr>
        <w:t xml:space="preserve"> </w:t>
      </w:r>
      <w:proofErr w:type="gramStart"/>
      <w:r>
        <w:t>При</w:t>
      </w:r>
      <w:proofErr w:type="gramEnd"/>
      <w:r>
        <w:t xml:space="preserve"> транспортировании и хранении продукт не должен подвергаться действию температур ниже 0 </w:t>
      </w:r>
      <w:r>
        <w:t>°</w:t>
      </w:r>
      <w:r>
        <w:t>C.</w:t>
      </w:r>
    </w:p>
    <w:p w:rsidR="00E43529" w:rsidRPr="000A6727" w:rsidRDefault="00E43529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E43529" w:rsidRDefault="000A6727">
      <w:pPr>
        <w:pStyle w:val="1"/>
        <w:ind w:right="1139"/>
        <w:rPr>
          <w:b w:val="0"/>
          <w:bCs w:val="0"/>
        </w:rPr>
      </w:pPr>
      <w:r>
        <w:t>МЕРЫ ПРЕДОС</w:t>
      </w:r>
      <w:r>
        <w:t>ТОРОЖНОСТИ</w:t>
      </w:r>
    </w:p>
    <w:p w:rsidR="00E43529" w:rsidRPr="000A6727" w:rsidRDefault="00E43529" w:rsidP="000A6727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E43529" w:rsidRDefault="000A6727">
      <w:pPr>
        <w:pStyle w:val="a3"/>
        <w:ind w:right="1139"/>
      </w:pPr>
      <w:r>
        <w:t>Перед применением изучите паспорт безопасности продукта. Вы можете получить паспорт безопасности</w:t>
      </w:r>
      <w:r>
        <w:t xml:space="preserve"> у нашего торгового представителя.</w:t>
      </w:r>
    </w:p>
    <w:p w:rsidR="00E43529" w:rsidRPr="000A6727" w:rsidRDefault="00E43529" w:rsidP="000A6727">
      <w:pPr>
        <w:rPr>
          <w:rFonts w:ascii="Calibri" w:eastAsia="Calibri" w:hAnsi="Calibri" w:cs="Calibri"/>
          <w:sz w:val="16"/>
          <w:szCs w:val="16"/>
        </w:rPr>
      </w:pPr>
    </w:p>
    <w:p w:rsidR="00E43529" w:rsidRDefault="000A6727">
      <w:pPr>
        <w:pStyle w:val="a3"/>
        <w:ind w:right="1139"/>
      </w:pPr>
      <w:r>
        <w:t>00/08.24.2021</w:t>
      </w:r>
    </w:p>
    <w:bookmarkStart w:id="0" w:name="_GoBack"/>
    <w:p w:rsidR="00E43529" w:rsidRDefault="000A6727">
      <w:pPr>
        <w:spacing w:line="1140" w:lineRule="exact"/>
        <w:ind w:left="11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9011" o:spid="_x0000_s1026" type="#_x0000_t202" style="width:463.1pt;height:74.25pt;mso-left-percent:-10001;mso-top-percent:-10001;mso-position-horizontal:absolute;mso-position-horizontal-relative:char;mso-position-vertical:absolute;mso-position-vertical-relative:line;mso-left-percent:-10001;mso-top-percent:-10001" filled="f" strokecolor="#6e6e6e">
            <v:textbox inset="0,0,0,0">
              <w:txbxContent>
                <w:p w:rsidR="00E43529" w:rsidRDefault="000A6727">
                  <w:pPr>
                    <w:spacing w:before="72" w:line="242" w:lineRule="auto"/>
                    <w:ind w:left="142" w:right="143"/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6E6E6E"/>
                      <w:sz w:val="16"/>
                    </w:rPr>
                    <w:t>Выше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представлена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вся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информация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,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доступная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нам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из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исследований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практического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опыта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.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Потребители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нашей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продукции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должны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проверить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эти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данные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применительно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к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их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рабочим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условиям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.  </w:t>
                  </w:r>
                  <w:proofErr w:type="spellStart"/>
                  <w:proofErr w:type="gramStart"/>
                  <w:r>
                    <w:rPr>
                      <w:rFonts w:ascii="Calibri"/>
                      <w:color w:val="6E6E6E"/>
                      <w:sz w:val="16"/>
                    </w:rPr>
                    <w:t>Akkim</w:t>
                  </w:r>
                  <w:proofErr w:type="spellEnd"/>
                  <w:r>
                    <w:rPr>
                      <w:rFonts w:ascii="Calibri"/>
                      <w:color w:val="6E6E6E"/>
                      <w:sz w:val="16"/>
                    </w:rPr>
                    <w:t xml:space="preserve"> 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не</w:t>
                  </w:r>
                  <w:proofErr w:type="gramEnd"/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дает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никаких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гарантий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,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ни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явно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выраженных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,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ни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подразумеваемых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,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относительно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товарной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пригодности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или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пригодности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для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конкретного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намерения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или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иных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гара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нтий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,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выходящих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за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пределы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утверждений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данного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документа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Calibri"/>
                      <w:color w:val="6E6E6E"/>
                      <w:sz w:val="16"/>
                    </w:rPr>
                    <w:t>Akkim</w:t>
                  </w:r>
                  <w:proofErr w:type="spellEnd"/>
                  <w:r>
                    <w:rPr>
                      <w:rFonts w:ascii="Calibri"/>
                      <w:color w:val="6E6E6E"/>
                      <w:sz w:val="16"/>
                    </w:rPr>
                    <w:t xml:space="preserve"> 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отказывается</w:t>
                  </w:r>
                  <w:proofErr w:type="gramEnd"/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от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обязательств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в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отношении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пользователя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или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покупателя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за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любые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убытки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,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вред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или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ущерб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,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вызванные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неверным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применением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или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неверным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обращением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с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продуктом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.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Этот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проспект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действ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ителен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до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выпуска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следующей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редакции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документа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.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Мы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сохраняем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за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собой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право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изменить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характеристики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продукта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без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предварительного</w:t>
                  </w:r>
                  <w:r>
                    <w:rPr>
                      <w:rFonts w:ascii="Calibri"/>
                      <w:color w:val="6E6E6E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6E6E6E"/>
                      <w:sz w:val="16"/>
                    </w:rPr>
                    <w:t>уведомления</w:t>
                  </w:r>
                  <w:r>
                    <w:rPr>
                      <w:rFonts w:ascii="Calibri"/>
                      <w:color w:val="6E6E6E"/>
                      <w:sz w:val="16"/>
                    </w:rPr>
                    <w:t>.</w:t>
                  </w:r>
                </w:p>
              </w:txbxContent>
            </v:textbox>
          </v:shape>
        </w:pict>
      </w:r>
      <w:bookmarkEnd w:id="0"/>
    </w:p>
    <w:sectPr w:rsidR="00E43529">
      <w:type w:val="continuous"/>
      <w:pgSz w:w="1190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3529"/>
    <w:rsid w:val="000A6727"/>
    <w:rsid w:val="00E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51D591"/>
  <w15:docId w15:val="{0F2DAB22-21E2-4317-AC7A-86C4D9C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3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Pavel</cp:lastModifiedBy>
  <cp:revision>2</cp:revision>
  <dcterms:created xsi:type="dcterms:W3CDTF">2023-06-22T11:12:00Z</dcterms:created>
  <dcterms:modified xsi:type="dcterms:W3CDTF">2023-06-23T05:47:00Z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